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27B1D">
      <w:pPr>
        <w:pStyle w:val="2"/>
        <w:keepNext w:val="0"/>
        <w:keepLines w:val="0"/>
        <w:widowControl/>
        <w:suppressLineNumbers w:val="0"/>
        <w:shd w:val="clear" w:fill="FDFDFE"/>
        <w:spacing w:before="0" w:beforeAutospacing="0" w:after="0" w:afterAutospacing="0" w:line="520" w:lineRule="atLeast"/>
        <w:ind w:left="0" w:firstLine="0"/>
        <w:jc w:val="both"/>
        <w:rPr>
          <w:rFonts w:ascii="微软雅黑" w:hAnsi="微软雅黑" w:eastAsia="微软雅黑" w:cs="微软雅黑"/>
          <w:i w:val="0"/>
          <w:iCs w:val="0"/>
          <w:caps w:val="0"/>
          <w:color w:val="000000"/>
          <w:spacing w:val="0"/>
          <w:sz w:val="16"/>
          <w:szCs w:val="16"/>
        </w:rPr>
      </w:pPr>
      <w:r>
        <w:rPr>
          <w:rFonts w:ascii="黑体" w:hAnsi="宋体" w:eastAsia="黑体" w:cs="黑体"/>
          <w:i w:val="0"/>
          <w:iCs w:val="0"/>
          <w:caps w:val="0"/>
          <w:color w:val="000000"/>
          <w:spacing w:val="0"/>
          <w:sz w:val="32"/>
          <w:szCs w:val="32"/>
          <w:shd w:val="clear" w:fill="FDFDFE"/>
        </w:rPr>
        <w:t>附件1：</w:t>
      </w:r>
    </w:p>
    <w:p w14:paraId="52F5A550">
      <w:pPr>
        <w:pStyle w:val="2"/>
        <w:keepNext w:val="0"/>
        <w:keepLines w:val="0"/>
        <w:widowControl/>
        <w:suppressLineNumbers w:val="0"/>
        <w:spacing w:before="0" w:beforeAutospacing="0" w:after="0" w:afterAutospacing="0" w:line="560" w:lineRule="atLeast"/>
        <w:ind w:left="0" w:firstLine="640"/>
        <w:jc w:val="center"/>
        <w:rPr>
          <w:rFonts w:hint="eastAsia" w:ascii="微软雅黑" w:hAnsi="微软雅黑" w:eastAsia="微软雅黑" w:cs="微软雅黑"/>
          <w:i w:val="0"/>
          <w:iCs w:val="0"/>
          <w:caps w:val="0"/>
          <w:color w:val="000000"/>
          <w:spacing w:val="0"/>
          <w:sz w:val="16"/>
          <w:szCs w:val="16"/>
        </w:rPr>
      </w:pPr>
      <w:r>
        <w:rPr>
          <w:rFonts w:ascii="仿宋_GB2312" w:hAnsi="微软雅黑" w:eastAsia="仿宋_GB2312" w:cs="仿宋_GB2312"/>
          <w:b/>
          <w:bCs/>
          <w:i w:val="0"/>
          <w:iCs w:val="0"/>
          <w:caps w:val="0"/>
          <w:color w:val="000000"/>
          <w:spacing w:val="-20"/>
          <w:sz w:val="32"/>
          <w:szCs w:val="32"/>
        </w:rPr>
        <w:t>2025年湖南科技大学大学生风景园林设计竞赛暨湖南省第六届大学生风景园林设计竞赛选拔赛研究生组获奖名单</w:t>
      </w:r>
    </w:p>
    <w:tbl>
      <w:tblPr>
        <w:tblW w:w="9775"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632"/>
        <w:gridCol w:w="3094"/>
        <w:gridCol w:w="1852"/>
        <w:gridCol w:w="1423"/>
        <w:gridCol w:w="1314"/>
        <w:gridCol w:w="1460"/>
      </w:tblGrid>
      <w:tr w14:paraId="54E987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76D8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序号</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DB7D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名称</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36AF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成员</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3808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组长</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B2F6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指导教师</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4406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校赛排名</w:t>
            </w:r>
          </w:p>
        </w:tc>
      </w:tr>
      <w:tr w14:paraId="107DEB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CEA9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1</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0C5F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老幼同栖・景观共赋——基于代际融合与智慧化的双龄型老龄社区景观更新设计</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4DC0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彭银辉、袁钰、杨冉冉</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6C44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彭银辉</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C6D3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张平，</w:t>
            </w:r>
          </w:p>
          <w:p w14:paraId="28CEA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向云波</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A2CE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第一名</w:t>
            </w:r>
          </w:p>
        </w:tc>
      </w:tr>
      <w:tr w14:paraId="6BC3C8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1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70E4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2</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B7E6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循码赋绿 译境新生——基于符号学理论的湘潭锰矿山公园改造设计</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FE5F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张腕、李锦薇、卜思梦</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944A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张腕</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2E40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李瑞雪</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CD62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第一名</w:t>
            </w:r>
          </w:p>
        </w:tc>
      </w:tr>
      <w:tr w14:paraId="04B5C4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6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21F1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3</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479F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时光·印脉搏--生态韧性视角下的沿江</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5688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封一啸，王国豪，杨文怡</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ECE3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封一啸</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8E7B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张平</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946F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第一名</w:t>
            </w:r>
          </w:p>
        </w:tc>
      </w:tr>
      <w:tr w14:paraId="58FC1D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9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11FF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4</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7AC6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绿境智绘·低碳共生——全龄友好背景下的智慧社区景观公园设计</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1A0C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葛从坚，陈思辰</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D5D8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葛从坚</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8775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向建华，</w:t>
            </w:r>
          </w:p>
          <w:p w14:paraId="2C800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易微微</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5F2A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第二名</w:t>
            </w:r>
          </w:p>
        </w:tc>
      </w:tr>
      <w:tr w14:paraId="3BEC06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BE59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5</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0D01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“货运之魂 纺织之韵”叙事理论在湘潭东货运站景观设计中的创新与实践</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BB74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吴晓迪</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D34C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吴晓迪</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4C2E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向建华</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0CA4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第二名</w:t>
            </w:r>
          </w:p>
        </w:tc>
      </w:tr>
      <w:tr w14:paraId="0E817C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457D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6</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7C83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智慧赋能·生态共生——三元耦合视角下长流村低碳景观的协同再生设计</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0736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李锦薇，李由，朱文馨</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C712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李锦薇</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0F4D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汪结明</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6063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第二名</w:t>
            </w:r>
          </w:p>
        </w:tc>
      </w:tr>
      <w:tr w14:paraId="16EC4A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ECDE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7</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FE62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基于乡村振兴下雅溪口村民之家的规划设计</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C3D3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陈丽丹，王豪</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2A04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陈丽丹</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5F68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8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胡伟</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34C7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第二名</w:t>
            </w:r>
          </w:p>
        </w:tc>
      </w:tr>
      <w:tr w14:paraId="70222F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65B7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8</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D97B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共生记——一个唤醒第六感循环的“共生场”</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4D26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李卓夫</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7945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8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李卓夫</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B419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8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樊衍</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F17F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第二名</w:t>
            </w:r>
          </w:p>
        </w:tc>
      </w:tr>
      <w:tr w14:paraId="2A57E6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AB96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9</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F6CF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基于夜游经济背景下的古城城市景观街区设计</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0A85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王豪</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1527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王豪</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8E84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8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胡伟</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7C8D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第二名</w:t>
            </w:r>
          </w:p>
        </w:tc>
      </w:tr>
      <w:tr w14:paraId="676982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0258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10</w:t>
            </w:r>
          </w:p>
        </w:tc>
        <w:tc>
          <w:tcPr>
            <w:tcW w:w="267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76E8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持续延展，绿色融息--绿色可持续理论下的未来垂直墓地设计</w:t>
            </w:r>
          </w:p>
        </w:tc>
        <w:tc>
          <w:tcPr>
            <w:tcW w:w="160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8885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谭晨雨，卜思梦，彭宇菲</w:t>
            </w:r>
          </w:p>
        </w:tc>
        <w:tc>
          <w:tcPr>
            <w:tcW w:w="123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B7395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谭晨雨</w:t>
            </w:r>
          </w:p>
        </w:tc>
        <w:tc>
          <w:tcPr>
            <w:tcW w:w="11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B13F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李瑞雪</w:t>
            </w:r>
          </w:p>
        </w:tc>
        <w:tc>
          <w:tcPr>
            <w:tcW w:w="126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4E9F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bdr w:val="none" w:color="auto" w:sz="0" w:space="0"/>
              </w:rPr>
              <w:t>第二名</w:t>
            </w:r>
          </w:p>
        </w:tc>
      </w:tr>
    </w:tbl>
    <w:p w14:paraId="07E21A50">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说明：研究生组共收集作品21件，经初选后，送10份作品外审。</w:t>
      </w:r>
    </w:p>
    <w:p w14:paraId="589759FE">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评奖标准为：</w:t>
      </w:r>
    </w:p>
    <w:p w14:paraId="295E3486">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一等奖：参赛人数×20%</w:t>
      </w:r>
    </w:p>
    <w:p w14:paraId="7E9422AC">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二等奖：参赛人数×30%</w:t>
      </w:r>
    </w:p>
    <w:p w14:paraId="6EA8EFCE">
      <w:pPr>
        <w:pStyle w:val="2"/>
        <w:keepNext w:val="0"/>
        <w:keepLines w:val="0"/>
        <w:widowControl/>
        <w:suppressLineNumbers w:val="0"/>
        <w:shd w:val="clear" w:fill="FDFDFE"/>
        <w:spacing w:before="0" w:beforeAutospacing="0" w:after="0" w:afterAutospacing="0" w:line="520" w:lineRule="atLeast"/>
        <w:ind w:left="0" w:firstLine="0"/>
        <w:jc w:val="both"/>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shd w:val="clear" w:fill="FDFDFE"/>
        </w:rPr>
        <w:br w:type="textWrapping"/>
      </w:r>
      <w:bookmarkStart w:id="0" w:name="_GoBack"/>
      <w:bookmarkEnd w:id="0"/>
    </w:p>
    <w:p w14:paraId="4A3DB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F7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2025-09-30T12:30:22Z</dcterms:created>
  <dc:creator>小张</dc:creator>
  <cp:lastModifiedBy>张sy</cp:lastModifiedBy>
  <dcterms:modified xsi:type="dcterms:W3CDTF">2025-09-30T12:32:24Z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BD2196D76A03495489435D1DC4468721_12</vt:lpwstr>
  </property>
</Properties>
</file>